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4A6E1" w14:textId="77777777" w:rsidR="00E01EF4" w:rsidRPr="00E01EF4" w:rsidRDefault="00E01EF4" w:rsidP="00E01EF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E01EF4">
        <w:rPr>
          <w:rFonts w:ascii="Lato" w:eastAsia="Times New Roman" w:hAnsi="Lato" w:cs="Times New Roman"/>
          <w:color w:val="CC3300"/>
          <w:kern w:val="36"/>
          <w:sz w:val="36"/>
          <w:szCs w:val="36"/>
          <w:lang w:eastAsia="fr-BE"/>
          <w14:ligatures w14:val="none"/>
        </w:rPr>
        <w:t>Tension sur les stocks</w:t>
      </w:r>
    </w:p>
    <w:p w14:paraId="1AE45955" w14:textId="77777777" w:rsidR="00E01EF4" w:rsidRPr="00E01EF4" w:rsidRDefault="00E01EF4" w:rsidP="00E01EF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01EF4">
        <w:rPr>
          <w:rFonts w:ascii="Lato" w:eastAsia="Times New Roman" w:hAnsi="Lato" w:cs="Times New Roman"/>
          <w:color w:val="000000"/>
          <w:kern w:val="0"/>
          <w:sz w:val="23"/>
          <w:szCs w:val="23"/>
          <w:lang w:eastAsia="fr-BE"/>
          <w14:ligatures w14:val="none"/>
        </w:rPr>
        <w:t>En baisse par rapport aux officiels de la séance précédente, le </w:t>
      </w:r>
      <w:r w:rsidRPr="00E01EF4">
        <w:rPr>
          <w:rFonts w:ascii="Lato" w:eastAsia="Times New Roman" w:hAnsi="Lato" w:cs="Times New Roman"/>
          <w:color w:val="000000"/>
          <w:kern w:val="0"/>
          <w:sz w:val="23"/>
          <w:szCs w:val="23"/>
          <w:u w:val="single"/>
          <w:lang w:eastAsia="fr-BE"/>
          <w14:ligatures w14:val="none"/>
        </w:rPr>
        <w:t>cuivre</w:t>
      </w:r>
      <w:r w:rsidRPr="00E01EF4">
        <w:rPr>
          <w:rFonts w:ascii="Lato" w:eastAsia="Times New Roman" w:hAnsi="Lato" w:cs="Times New Roman"/>
          <w:color w:val="000000"/>
          <w:kern w:val="0"/>
          <w:sz w:val="23"/>
          <w:szCs w:val="23"/>
          <w:lang w:eastAsia="fr-BE"/>
          <w14:ligatures w14:val="none"/>
        </w:rPr>
        <w:t> du LME est toutefois en hausse par rapport à la valeur d’ouverture, porté par un amenuisement des stocks et des signes de tension, à l’international, sur la disponibilité de la matière première. L’affaiblissement du dollar soutient également les cours. Sur le LME, le </w:t>
      </w:r>
      <w:r w:rsidRPr="00E01EF4">
        <w:rPr>
          <w:rFonts w:ascii="Lato" w:eastAsia="Times New Roman" w:hAnsi="Lato" w:cs="Times New Roman"/>
          <w:color w:val="000000"/>
          <w:kern w:val="0"/>
          <w:sz w:val="23"/>
          <w:szCs w:val="23"/>
          <w:u w:val="single"/>
          <w:lang w:eastAsia="fr-BE"/>
          <w14:ligatures w14:val="none"/>
        </w:rPr>
        <w:t>cuivre</w:t>
      </w:r>
      <w:r w:rsidRPr="00E01EF4">
        <w:rPr>
          <w:rFonts w:ascii="Lato" w:eastAsia="Times New Roman" w:hAnsi="Lato" w:cs="Times New Roman"/>
          <w:color w:val="000000"/>
          <w:kern w:val="0"/>
          <w:sz w:val="23"/>
          <w:szCs w:val="23"/>
          <w:lang w:eastAsia="fr-BE"/>
          <w14:ligatures w14:val="none"/>
        </w:rPr>
        <w:t> pour livraison à trois mois avance ainsi de 0,2 % à 8.596 $/t. Vendredi, le </w:t>
      </w:r>
      <w:r w:rsidRPr="00E01EF4">
        <w:rPr>
          <w:rFonts w:ascii="Lato" w:eastAsia="Times New Roman" w:hAnsi="Lato" w:cs="Times New Roman"/>
          <w:color w:val="000000"/>
          <w:kern w:val="0"/>
          <w:sz w:val="23"/>
          <w:szCs w:val="23"/>
          <w:u w:val="single"/>
          <w:lang w:eastAsia="fr-BE"/>
          <w14:ligatures w14:val="none"/>
        </w:rPr>
        <w:t>cuivre</w:t>
      </w:r>
      <w:r w:rsidRPr="00E01EF4">
        <w:rPr>
          <w:rFonts w:ascii="Lato" w:eastAsia="Times New Roman" w:hAnsi="Lato" w:cs="Times New Roman"/>
          <w:color w:val="000000"/>
          <w:kern w:val="0"/>
          <w:sz w:val="23"/>
          <w:szCs w:val="23"/>
          <w:lang w:eastAsia="fr-BE"/>
          <w14:ligatures w14:val="none"/>
        </w:rPr>
        <w:t xml:space="preserve"> a atteint un pic de cinq semaines. Contraction de 0,6 %, toutefois, pour le cours à trois mois du </w:t>
      </w:r>
      <w:proofErr w:type="spellStart"/>
      <w:r w:rsidRPr="00E01EF4">
        <w:rPr>
          <w:rFonts w:ascii="Lato" w:eastAsia="Times New Roman" w:hAnsi="Lato" w:cs="Times New Roman"/>
          <w:color w:val="000000"/>
          <w:kern w:val="0"/>
          <w:sz w:val="23"/>
          <w:szCs w:val="23"/>
          <w:lang w:eastAsia="fr-BE"/>
          <w14:ligatures w14:val="none"/>
        </w:rPr>
        <w:t>ShFE</w:t>
      </w:r>
      <w:proofErr w:type="spellEnd"/>
      <w:r w:rsidRPr="00E01EF4">
        <w:rPr>
          <w:rFonts w:ascii="Lato" w:eastAsia="Times New Roman" w:hAnsi="Lato" w:cs="Times New Roman"/>
          <w:color w:val="000000"/>
          <w:kern w:val="0"/>
          <w:sz w:val="23"/>
          <w:szCs w:val="23"/>
          <w:lang w:eastAsia="fr-BE"/>
          <w14:ligatures w14:val="none"/>
        </w:rPr>
        <w:t xml:space="preserve"> qui glisse à 69.500 yuan/t (9,673.06 $).</w:t>
      </w:r>
    </w:p>
    <w:p w14:paraId="4543C3B5" w14:textId="77777777" w:rsidR="00E01EF4" w:rsidRPr="00E01EF4" w:rsidRDefault="00E01EF4" w:rsidP="00E01EF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01EF4">
        <w:rPr>
          <w:rFonts w:ascii="Lato" w:eastAsia="Times New Roman" w:hAnsi="Lato" w:cs="Times New Roman"/>
          <w:color w:val="000000"/>
          <w:kern w:val="0"/>
          <w:sz w:val="23"/>
          <w:szCs w:val="23"/>
          <w:lang w:eastAsia="fr-BE"/>
          <w14:ligatures w14:val="none"/>
        </w:rPr>
        <w:t>Les cours sont notamment gonflés par les perturbations qui ont débuté au mois de décembre dans les mines de </w:t>
      </w:r>
      <w:r w:rsidRPr="00E01EF4">
        <w:rPr>
          <w:rFonts w:ascii="Lato" w:eastAsia="Times New Roman" w:hAnsi="Lato" w:cs="Times New Roman"/>
          <w:color w:val="000000"/>
          <w:kern w:val="0"/>
          <w:sz w:val="23"/>
          <w:szCs w:val="23"/>
          <w:u w:val="single"/>
          <w:lang w:eastAsia="fr-BE"/>
          <w14:ligatures w14:val="none"/>
        </w:rPr>
        <w:t>cuivre</w:t>
      </w:r>
      <w:r w:rsidRPr="00E01EF4">
        <w:rPr>
          <w:rFonts w:ascii="Lato" w:eastAsia="Times New Roman" w:hAnsi="Lato" w:cs="Times New Roman"/>
          <w:color w:val="000000"/>
          <w:kern w:val="0"/>
          <w:sz w:val="23"/>
          <w:szCs w:val="23"/>
          <w:lang w:eastAsia="fr-BE"/>
          <w14:ligatures w14:val="none"/>
        </w:rPr>
        <w:t xml:space="preserve">. Ces perturbations ont affecté les marges des fonderies chinoises et menacé d’amenuiser les résultats de production. La production du géant </w:t>
      </w:r>
      <w:proofErr w:type="spellStart"/>
      <w:r w:rsidRPr="00E01EF4">
        <w:rPr>
          <w:rFonts w:ascii="Lato" w:eastAsia="Times New Roman" w:hAnsi="Lato" w:cs="Times New Roman"/>
          <w:color w:val="000000"/>
          <w:kern w:val="0"/>
          <w:sz w:val="23"/>
          <w:szCs w:val="23"/>
          <w:lang w:eastAsia="fr-BE"/>
          <w14:ligatures w14:val="none"/>
        </w:rPr>
        <w:t>Codelco</w:t>
      </w:r>
      <w:proofErr w:type="spellEnd"/>
      <w:r w:rsidRPr="00E01EF4">
        <w:rPr>
          <w:rFonts w:ascii="Lato" w:eastAsia="Times New Roman" w:hAnsi="Lato" w:cs="Times New Roman"/>
          <w:color w:val="000000"/>
          <w:kern w:val="0"/>
          <w:sz w:val="23"/>
          <w:szCs w:val="23"/>
          <w:lang w:eastAsia="fr-BE"/>
          <w14:ligatures w14:val="none"/>
        </w:rPr>
        <w:t>, au Chili, a ainsi baissé de 16 % au mois de janvier, en glissement annuel. L’indice du dollar oscille autour d’un creux de deux mois atteint vendredi. Le marché du travail américain affichant des signes de ralentissement, la politique de la Fed peut suivre son cours, c’est-à-dire que les prochains abaissements de taux ne devraient pas être retardés. Le niveau de consommation demeure faible en Chine, avec des perspectives de demande encore peu encourageantes.</w:t>
      </w:r>
    </w:p>
    <w:p w14:paraId="536FB58E"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F4"/>
    <w:rsid w:val="00287462"/>
    <w:rsid w:val="00E01E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355"/>
  <w15:chartTrackingRefBased/>
  <w15:docId w15:val="{EF784D0B-8465-414C-B26A-5E282B4C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1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1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1E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1E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1E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1E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1E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1E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1E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1E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1E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1E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1E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1E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1E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1E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1E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1EF4"/>
    <w:rPr>
      <w:rFonts w:eastAsiaTheme="majorEastAsia" w:cstheme="majorBidi"/>
      <w:color w:val="272727" w:themeColor="text1" w:themeTint="D8"/>
    </w:rPr>
  </w:style>
  <w:style w:type="paragraph" w:styleId="Titre">
    <w:name w:val="Title"/>
    <w:basedOn w:val="Normal"/>
    <w:next w:val="Normal"/>
    <w:link w:val="TitreCar"/>
    <w:uiPriority w:val="10"/>
    <w:qFormat/>
    <w:rsid w:val="00E0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1E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1E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1E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1EF4"/>
    <w:pPr>
      <w:spacing w:before="160"/>
      <w:jc w:val="center"/>
    </w:pPr>
    <w:rPr>
      <w:i/>
      <w:iCs/>
      <w:color w:val="404040" w:themeColor="text1" w:themeTint="BF"/>
    </w:rPr>
  </w:style>
  <w:style w:type="character" w:customStyle="1" w:styleId="CitationCar">
    <w:name w:val="Citation Car"/>
    <w:basedOn w:val="Policepardfaut"/>
    <w:link w:val="Citation"/>
    <w:uiPriority w:val="29"/>
    <w:rsid w:val="00E01EF4"/>
    <w:rPr>
      <w:i/>
      <w:iCs/>
      <w:color w:val="404040" w:themeColor="text1" w:themeTint="BF"/>
    </w:rPr>
  </w:style>
  <w:style w:type="paragraph" w:styleId="Paragraphedeliste">
    <w:name w:val="List Paragraph"/>
    <w:basedOn w:val="Normal"/>
    <w:uiPriority w:val="34"/>
    <w:qFormat/>
    <w:rsid w:val="00E01EF4"/>
    <w:pPr>
      <w:ind w:left="720"/>
      <w:contextualSpacing/>
    </w:pPr>
  </w:style>
  <w:style w:type="character" w:styleId="Accentuationintense">
    <w:name w:val="Intense Emphasis"/>
    <w:basedOn w:val="Policepardfaut"/>
    <w:uiPriority w:val="21"/>
    <w:qFormat/>
    <w:rsid w:val="00E01EF4"/>
    <w:rPr>
      <w:i/>
      <w:iCs/>
      <w:color w:val="0F4761" w:themeColor="accent1" w:themeShade="BF"/>
    </w:rPr>
  </w:style>
  <w:style w:type="paragraph" w:styleId="Citationintense">
    <w:name w:val="Intense Quote"/>
    <w:basedOn w:val="Normal"/>
    <w:next w:val="Normal"/>
    <w:link w:val="CitationintenseCar"/>
    <w:uiPriority w:val="30"/>
    <w:qFormat/>
    <w:rsid w:val="00E01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1EF4"/>
    <w:rPr>
      <w:i/>
      <w:iCs/>
      <w:color w:val="0F4761" w:themeColor="accent1" w:themeShade="BF"/>
    </w:rPr>
  </w:style>
  <w:style w:type="character" w:styleId="Rfrenceintense">
    <w:name w:val="Intense Reference"/>
    <w:basedOn w:val="Policepardfaut"/>
    <w:uiPriority w:val="32"/>
    <w:qFormat/>
    <w:rsid w:val="00E01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1121</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2024-03-11T08:05:00Z</dcterms:created>
  <dcterms:modified xsi:type="dcterms:W3CDTF">2024-03-11T08:05:00Z</dcterms:modified>
</cp:coreProperties>
</file>